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FB24" w14:textId="77777777" w:rsidR="00907A33" w:rsidRPr="009E5925" w:rsidRDefault="00907A33" w:rsidP="00907A33">
      <w:pPr>
        <w:tabs>
          <w:tab w:val="left" w:pos="180"/>
        </w:tabs>
        <w:rPr>
          <w:rFonts w:cs="Arial"/>
          <w:szCs w:val="22"/>
        </w:rPr>
      </w:pPr>
    </w:p>
    <w:p w14:paraId="36CD921C" w14:textId="77777777" w:rsidR="00C81DC2" w:rsidRDefault="00C81DC2" w:rsidP="001272C5">
      <w:pPr>
        <w:jc w:val="center"/>
        <w:rPr>
          <w:b/>
        </w:rPr>
      </w:pPr>
    </w:p>
    <w:p w14:paraId="076B03BB" w14:textId="77777777" w:rsidR="00C81DC2" w:rsidRDefault="00C81DC2" w:rsidP="001272C5">
      <w:pPr>
        <w:jc w:val="center"/>
        <w:rPr>
          <w:b/>
        </w:rPr>
      </w:pPr>
    </w:p>
    <w:p w14:paraId="2F7AE252" w14:textId="77777777" w:rsidR="00C81DC2" w:rsidRDefault="00F51E9D" w:rsidP="001272C5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7DB6F06F" wp14:editId="1DF12FA5">
            <wp:simplePos x="0" y="0"/>
            <wp:positionH relativeFrom="page">
              <wp:posOffset>4400550</wp:posOffset>
            </wp:positionH>
            <wp:positionV relativeFrom="page">
              <wp:posOffset>-200025</wp:posOffset>
            </wp:positionV>
            <wp:extent cx="8025765" cy="1518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76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3902F" w14:textId="77777777" w:rsidR="00C81DC2" w:rsidRDefault="00C81DC2" w:rsidP="001272C5">
      <w:pPr>
        <w:jc w:val="center"/>
        <w:rPr>
          <w:b/>
        </w:rPr>
      </w:pPr>
    </w:p>
    <w:p w14:paraId="173BC49D" w14:textId="77777777" w:rsidR="00C56E9A" w:rsidRPr="001272C5" w:rsidRDefault="00907A33" w:rsidP="001272C5">
      <w:pPr>
        <w:jc w:val="center"/>
        <w:rPr>
          <w:b/>
        </w:rPr>
      </w:pPr>
      <w:r w:rsidRPr="001272C5">
        <w:rPr>
          <w:b/>
        </w:rPr>
        <w:t>PATIENT ACCEPTANCE CRITERIA</w:t>
      </w:r>
    </w:p>
    <w:p w14:paraId="6AF27900" w14:textId="5A11B622" w:rsidR="00907A33" w:rsidRPr="001272C5" w:rsidRDefault="00AE673A" w:rsidP="00127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SPECIALIST </w:t>
      </w:r>
      <w:r w:rsidR="00907A33" w:rsidRPr="001272C5">
        <w:rPr>
          <w:b/>
          <w:sz w:val="24"/>
          <w:szCs w:val="24"/>
        </w:rPr>
        <w:t xml:space="preserve">PAEDIATRIC </w:t>
      </w:r>
      <w:r>
        <w:rPr>
          <w:b/>
          <w:sz w:val="24"/>
          <w:szCs w:val="24"/>
        </w:rPr>
        <w:t xml:space="preserve">DENTAL </w:t>
      </w:r>
      <w:r w:rsidR="00907A33" w:rsidRPr="001272C5">
        <w:rPr>
          <w:b/>
          <w:sz w:val="24"/>
          <w:szCs w:val="24"/>
        </w:rPr>
        <w:t>SERVICE</w:t>
      </w:r>
    </w:p>
    <w:p w14:paraId="7318D727" w14:textId="77777777" w:rsidR="00907A33" w:rsidRPr="001272C5" w:rsidRDefault="00907A33">
      <w:pPr>
        <w:rPr>
          <w:sz w:val="24"/>
          <w:szCs w:val="24"/>
        </w:rPr>
      </w:pPr>
    </w:p>
    <w:p w14:paraId="1B02F193" w14:textId="4EA8E7CB" w:rsidR="00907A33" w:rsidRPr="00F83A22" w:rsidRDefault="00907A33" w:rsidP="00C81DC2">
      <w:pPr>
        <w:jc w:val="both"/>
        <w:rPr>
          <w:sz w:val="23"/>
          <w:szCs w:val="23"/>
        </w:rPr>
      </w:pPr>
      <w:r w:rsidRPr="00F83A22">
        <w:rPr>
          <w:sz w:val="23"/>
          <w:szCs w:val="23"/>
        </w:rPr>
        <w:t>The Paediatric Dental Service is for those patients aged 0-16 years.  Young people aged 1</w:t>
      </w:r>
      <w:r w:rsidR="00AE673A" w:rsidRPr="00F83A22">
        <w:rPr>
          <w:sz w:val="23"/>
          <w:szCs w:val="23"/>
        </w:rPr>
        <w:t>5</w:t>
      </w:r>
      <w:r w:rsidRPr="00F83A22">
        <w:rPr>
          <w:sz w:val="23"/>
          <w:szCs w:val="23"/>
        </w:rPr>
        <w:t xml:space="preserve">-19 </w:t>
      </w:r>
      <w:r w:rsidR="001272C5" w:rsidRPr="00F83A22">
        <w:rPr>
          <w:sz w:val="23"/>
          <w:szCs w:val="23"/>
        </w:rPr>
        <w:t>should be referred to</w:t>
      </w:r>
      <w:r w:rsidRPr="00F83A22">
        <w:rPr>
          <w:sz w:val="23"/>
          <w:szCs w:val="23"/>
        </w:rPr>
        <w:t xml:space="preserve"> the adult special care service using their acceptance criteria.</w:t>
      </w:r>
      <w:r w:rsidR="00AE673A" w:rsidRPr="00F83A22">
        <w:rPr>
          <w:sz w:val="23"/>
          <w:szCs w:val="23"/>
        </w:rPr>
        <w:t xml:space="preserve">  The GA assessment service is 2-18</w:t>
      </w:r>
      <w:proofErr w:type="gramStart"/>
      <w:r w:rsidR="00B1416C" w:rsidRPr="00F83A22">
        <w:rPr>
          <w:sz w:val="23"/>
          <w:szCs w:val="23"/>
        </w:rPr>
        <w:t xml:space="preserve">yrs </w:t>
      </w:r>
      <w:r w:rsidR="00AE673A" w:rsidRPr="00F83A22">
        <w:rPr>
          <w:sz w:val="23"/>
          <w:szCs w:val="23"/>
        </w:rPr>
        <w:t>,</w:t>
      </w:r>
      <w:proofErr w:type="gramEnd"/>
      <w:r w:rsidR="00AE673A" w:rsidRPr="00F83A22">
        <w:rPr>
          <w:sz w:val="23"/>
          <w:szCs w:val="23"/>
        </w:rPr>
        <w:t xml:space="preserve"> and is for referrals by GDP only.</w:t>
      </w:r>
      <w:r w:rsidR="00332602">
        <w:rPr>
          <w:sz w:val="23"/>
          <w:szCs w:val="23"/>
        </w:rPr>
        <w:t xml:space="preserve">  We accept patients who live within the boundaries of Hull and East Riding only.</w:t>
      </w:r>
    </w:p>
    <w:p w14:paraId="5AFA585C" w14:textId="77777777" w:rsidR="00907A33" w:rsidRPr="00F83A22" w:rsidRDefault="00907A33" w:rsidP="00C81DC2">
      <w:pPr>
        <w:jc w:val="both"/>
        <w:rPr>
          <w:sz w:val="23"/>
          <w:szCs w:val="23"/>
        </w:rPr>
      </w:pPr>
    </w:p>
    <w:p w14:paraId="55CA197B" w14:textId="40D123FF" w:rsidR="00907A33" w:rsidRPr="00F83A22" w:rsidRDefault="00907A33" w:rsidP="00C81DC2">
      <w:pPr>
        <w:jc w:val="both"/>
        <w:rPr>
          <w:sz w:val="23"/>
          <w:szCs w:val="23"/>
        </w:rPr>
      </w:pPr>
      <w:r w:rsidRPr="00F83A22">
        <w:rPr>
          <w:sz w:val="23"/>
          <w:szCs w:val="23"/>
        </w:rPr>
        <w:t>There are three separate referral forms for children:</w:t>
      </w:r>
    </w:p>
    <w:p w14:paraId="4540579A" w14:textId="62D68497" w:rsidR="00907A33" w:rsidRPr="00F83A22" w:rsidRDefault="00907A33" w:rsidP="00C81DC2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F83A22">
        <w:rPr>
          <w:sz w:val="23"/>
          <w:szCs w:val="23"/>
        </w:rPr>
        <w:t>General Paediatric Referral</w:t>
      </w:r>
      <w:r w:rsidR="00AE673A" w:rsidRPr="00F83A22">
        <w:rPr>
          <w:sz w:val="23"/>
          <w:szCs w:val="23"/>
        </w:rPr>
        <w:t xml:space="preserve"> (1-16yrs)</w:t>
      </w:r>
    </w:p>
    <w:p w14:paraId="506D9991" w14:textId="03A3E426" w:rsidR="00907A33" w:rsidRPr="00F83A22" w:rsidRDefault="00907A33" w:rsidP="00C81DC2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F83A22">
        <w:rPr>
          <w:sz w:val="23"/>
          <w:szCs w:val="23"/>
        </w:rPr>
        <w:t xml:space="preserve">General </w:t>
      </w:r>
      <w:r w:rsidR="005F2205" w:rsidRPr="00F83A22">
        <w:rPr>
          <w:sz w:val="23"/>
          <w:szCs w:val="23"/>
        </w:rPr>
        <w:t>Anaesthetic</w:t>
      </w:r>
      <w:r w:rsidRPr="00F83A22">
        <w:rPr>
          <w:sz w:val="23"/>
          <w:szCs w:val="23"/>
        </w:rPr>
        <w:t xml:space="preserve"> Assessment</w:t>
      </w:r>
      <w:r w:rsidR="00AE673A" w:rsidRPr="00F83A22">
        <w:rPr>
          <w:sz w:val="23"/>
          <w:szCs w:val="23"/>
        </w:rPr>
        <w:t xml:space="preserve"> (2-18 </w:t>
      </w:r>
      <w:proofErr w:type="spellStart"/>
      <w:r w:rsidR="00AE673A" w:rsidRPr="00F83A22">
        <w:rPr>
          <w:sz w:val="23"/>
          <w:szCs w:val="23"/>
        </w:rPr>
        <w:t>yrs</w:t>
      </w:r>
      <w:proofErr w:type="spellEnd"/>
      <w:r w:rsidR="00AE673A" w:rsidRPr="00F83A22">
        <w:rPr>
          <w:sz w:val="23"/>
          <w:szCs w:val="23"/>
        </w:rPr>
        <w:t>)</w:t>
      </w:r>
    </w:p>
    <w:p w14:paraId="5264FF33" w14:textId="4C895AB3" w:rsidR="00907A33" w:rsidRPr="00F83A22" w:rsidRDefault="00907A33" w:rsidP="00EC1A21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F83A22">
        <w:rPr>
          <w:sz w:val="23"/>
          <w:szCs w:val="23"/>
        </w:rPr>
        <w:t xml:space="preserve">Trauma </w:t>
      </w:r>
      <w:r w:rsidR="00AE673A" w:rsidRPr="00F83A22">
        <w:rPr>
          <w:sz w:val="23"/>
          <w:szCs w:val="23"/>
        </w:rPr>
        <w:t>– please complete the paediatric referral form and this supplemental form.</w:t>
      </w:r>
    </w:p>
    <w:p w14:paraId="4C695FC4" w14:textId="77777777" w:rsidR="00AE673A" w:rsidRPr="00F83A22" w:rsidRDefault="00AE673A" w:rsidP="00AE673A">
      <w:pPr>
        <w:pStyle w:val="ListParagraph"/>
        <w:jc w:val="both"/>
        <w:rPr>
          <w:sz w:val="23"/>
          <w:szCs w:val="23"/>
        </w:rPr>
      </w:pPr>
    </w:p>
    <w:p w14:paraId="079F1CF3" w14:textId="0DC654DD" w:rsidR="00907A33" w:rsidRPr="00F83A22" w:rsidRDefault="00907A33" w:rsidP="00C81DC2">
      <w:pPr>
        <w:jc w:val="both"/>
        <w:rPr>
          <w:b/>
          <w:sz w:val="23"/>
          <w:szCs w:val="23"/>
        </w:rPr>
      </w:pPr>
      <w:r w:rsidRPr="00F83A22">
        <w:rPr>
          <w:b/>
          <w:sz w:val="23"/>
          <w:szCs w:val="23"/>
        </w:rPr>
        <w:t>Patients with multiple carious cavities in the primary</w:t>
      </w:r>
      <w:r w:rsidR="008F4B3D" w:rsidRPr="00F83A22">
        <w:rPr>
          <w:b/>
          <w:sz w:val="23"/>
          <w:szCs w:val="23"/>
        </w:rPr>
        <w:t xml:space="preserve"> </w:t>
      </w:r>
      <w:r w:rsidRPr="00F83A22">
        <w:rPr>
          <w:b/>
          <w:sz w:val="23"/>
          <w:szCs w:val="23"/>
        </w:rPr>
        <w:t>dentition should be referred on the GA assessment form, as extractions under general anaesthetic are very likely.</w:t>
      </w:r>
      <w:r w:rsidR="008F4B3D" w:rsidRPr="00F83A22">
        <w:rPr>
          <w:b/>
          <w:sz w:val="23"/>
          <w:szCs w:val="23"/>
        </w:rPr>
        <w:t xml:space="preserve">  This means they will have a full Specialist Paediatric Dentistry Assessment and the most appropriate method of treatment will be organised in a timely manner.  </w:t>
      </w:r>
      <w:r w:rsidR="00AE673A" w:rsidRPr="00F83A22">
        <w:rPr>
          <w:b/>
          <w:sz w:val="23"/>
          <w:szCs w:val="23"/>
        </w:rPr>
        <w:t>This may include restoration of some teeth prior to the general anaesthetic.</w:t>
      </w:r>
    </w:p>
    <w:p w14:paraId="7E264C72" w14:textId="77777777" w:rsidR="00907A33" w:rsidRPr="00F83A22" w:rsidRDefault="00907A33" w:rsidP="00C81DC2">
      <w:pPr>
        <w:jc w:val="both"/>
        <w:rPr>
          <w:b/>
          <w:sz w:val="23"/>
          <w:szCs w:val="23"/>
        </w:rPr>
      </w:pPr>
    </w:p>
    <w:p w14:paraId="743DD69F" w14:textId="77777777" w:rsidR="00907A33" w:rsidRPr="00F83A22" w:rsidRDefault="00907A33" w:rsidP="00C81DC2">
      <w:pPr>
        <w:jc w:val="both"/>
        <w:rPr>
          <w:sz w:val="23"/>
          <w:szCs w:val="23"/>
        </w:rPr>
      </w:pPr>
      <w:r w:rsidRPr="00F83A22">
        <w:rPr>
          <w:sz w:val="23"/>
          <w:szCs w:val="23"/>
        </w:rPr>
        <w:t>The main types of referrals that will be accepted:</w:t>
      </w:r>
    </w:p>
    <w:p w14:paraId="010E497C" w14:textId="77777777" w:rsidR="00907A33" w:rsidRPr="00F83A22" w:rsidRDefault="00907A33" w:rsidP="00C81DC2">
      <w:pPr>
        <w:pStyle w:val="ListParagraph"/>
        <w:jc w:val="both"/>
        <w:rPr>
          <w:sz w:val="23"/>
          <w:szCs w:val="23"/>
        </w:rPr>
      </w:pPr>
    </w:p>
    <w:p w14:paraId="1C25C176" w14:textId="0CB25816" w:rsidR="00907A33" w:rsidRPr="00F83A22" w:rsidRDefault="00907A33" w:rsidP="00C81DC2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F83A22">
        <w:rPr>
          <w:rFonts w:cs="Arial"/>
          <w:sz w:val="23"/>
          <w:szCs w:val="23"/>
        </w:rPr>
        <w:t xml:space="preserve">Children with special </w:t>
      </w:r>
      <w:r w:rsidR="003559CE" w:rsidRPr="00F83A22">
        <w:rPr>
          <w:rFonts w:cs="Arial"/>
          <w:sz w:val="23"/>
          <w:szCs w:val="23"/>
        </w:rPr>
        <w:t>needs that significantly affect</w:t>
      </w:r>
      <w:r w:rsidRPr="00F83A22">
        <w:rPr>
          <w:rFonts w:cs="Arial"/>
          <w:sz w:val="23"/>
          <w:szCs w:val="23"/>
        </w:rPr>
        <w:t xml:space="preserve"> provision of dental care (for example, learning difficulties, autistic spectrum disorders)</w:t>
      </w:r>
      <w:r w:rsidR="00AE673A" w:rsidRPr="00F83A22">
        <w:rPr>
          <w:rFonts w:cs="Arial"/>
          <w:sz w:val="23"/>
          <w:szCs w:val="23"/>
        </w:rPr>
        <w:t>.</w:t>
      </w:r>
    </w:p>
    <w:p w14:paraId="6F7B942C" w14:textId="77777777" w:rsidR="00907A33" w:rsidRPr="00F83A22" w:rsidRDefault="00907A33" w:rsidP="00C81DC2">
      <w:pPr>
        <w:pStyle w:val="ListParagraph"/>
        <w:numPr>
          <w:ilvl w:val="0"/>
          <w:numId w:val="3"/>
        </w:numPr>
        <w:jc w:val="both"/>
        <w:rPr>
          <w:rFonts w:cs="Arial"/>
          <w:i/>
          <w:sz w:val="23"/>
          <w:szCs w:val="23"/>
        </w:rPr>
      </w:pPr>
      <w:r w:rsidRPr="00F83A22">
        <w:rPr>
          <w:rFonts w:cs="Arial"/>
          <w:sz w:val="23"/>
          <w:szCs w:val="23"/>
        </w:rPr>
        <w:t xml:space="preserve">Children with severe dental anxiety or other behavioural management difficulty where treatment has already been attempted and preventive care provided. </w:t>
      </w:r>
      <w:r w:rsidRPr="00F83A22">
        <w:rPr>
          <w:rFonts w:cs="Arial"/>
          <w:i/>
          <w:sz w:val="23"/>
          <w:szCs w:val="23"/>
        </w:rPr>
        <w:t>Children will normally be accepted for a single course of treatment but may be offered continuing care if difficulties are ongoing.</w:t>
      </w:r>
    </w:p>
    <w:p w14:paraId="72F04C30" w14:textId="4ADF6823" w:rsidR="00907A33" w:rsidRPr="00F83A22" w:rsidRDefault="00907A33" w:rsidP="00C81DC2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F83A22">
        <w:rPr>
          <w:rFonts w:cs="Arial"/>
          <w:sz w:val="23"/>
          <w:szCs w:val="23"/>
        </w:rPr>
        <w:t>Medical</w:t>
      </w:r>
      <w:r w:rsidR="00AE673A" w:rsidRPr="00F83A22">
        <w:rPr>
          <w:rFonts w:cs="Arial"/>
          <w:sz w:val="23"/>
          <w:szCs w:val="23"/>
        </w:rPr>
        <w:t>ly</w:t>
      </w:r>
      <w:r w:rsidRPr="00F83A22">
        <w:rPr>
          <w:rFonts w:cs="Arial"/>
          <w:sz w:val="23"/>
          <w:szCs w:val="23"/>
        </w:rPr>
        <w:t xml:space="preserve"> Compromised – Patients who for medical reasons cannot receive care in General Dental Practice</w:t>
      </w:r>
      <w:r w:rsidR="00AE673A" w:rsidRPr="00F83A22">
        <w:rPr>
          <w:rFonts w:cs="Arial"/>
          <w:sz w:val="23"/>
          <w:szCs w:val="23"/>
        </w:rPr>
        <w:t>.</w:t>
      </w:r>
    </w:p>
    <w:p w14:paraId="07A7BAC3" w14:textId="168D6EC6" w:rsidR="00907A33" w:rsidRPr="00F83A22" w:rsidRDefault="00907A33" w:rsidP="00C81DC2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F83A22">
        <w:rPr>
          <w:rFonts w:cs="Arial"/>
          <w:sz w:val="23"/>
          <w:szCs w:val="23"/>
        </w:rPr>
        <w:t>Developmental or inherited dental conditions (for ex</w:t>
      </w:r>
      <w:r w:rsidR="001272C5" w:rsidRPr="00F83A22">
        <w:rPr>
          <w:rFonts w:cs="Arial"/>
          <w:sz w:val="23"/>
          <w:szCs w:val="23"/>
        </w:rPr>
        <w:t>ample MIH, AI, DI, Hypodontia, s</w:t>
      </w:r>
      <w:r w:rsidRPr="00F83A22">
        <w:rPr>
          <w:rFonts w:cs="Arial"/>
          <w:sz w:val="23"/>
          <w:szCs w:val="23"/>
        </w:rPr>
        <w:t xml:space="preserve">upernumeraries, </w:t>
      </w:r>
      <w:proofErr w:type="spellStart"/>
      <w:r w:rsidRPr="00F83A22">
        <w:rPr>
          <w:rFonts w:cs="Arial"/>
          <w:sz w:val="23"/>
          <w:szCs w:val="23"/>
        </w:rPr>
        <w:t>odontomes</w:t>
      </w:r>
      <w:proofErr w:type="spellEnd"/>
      <w:r w:rsidR="001272C5" w:rsidRPr="00F83A22">
        <w:rPr>
          <w:rFonts w:cs="Arial"/>
          <w:sz w:val="23"/>
          <w:szCs w:val="23"/>
        </w:rPr>
        <w:t xml:space="preserve"> etc</w:t>
      </w:r>
      <w:r w:rsidRPr="00F83A22">
        <w:rPr>
          <w:rFonts w:cs="Arial"/>
          <w:sz w:val="23"/>
          <w:szCs w:val="23"/>
        </w:rPr>
        <w:t>)</w:t>
      </w:r>
      <w:r w:rsidR="00AE673A" w:rsidRPr="00F83A22">
        <w:rPr>
          <w:rFonts w:cs="Arial"/>
          <w:sz w:val="23"/>
          <w:szCs w:val="23"/>
        </w:rPr>
        <w:t>.</w:t>
      </w:r>
    </w:p>
    <w:p w14:paraId="48B47EEA" w14:textId="119EDCE8" w:rsidR="00907A33" w:rsidRPr="00F83A22" w:rsidRDefault="00907A33" w:rsidP="00C81DC2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F83A22">
        <w:rPr>
          <w:rFonts w:cs="Arial"/>
          <w:sz w:val="23"/>
          <w:szCs w:val="23"/>
        </w:rPr>
        <w:t xml:space="preserve">Difficult dental </w:t>
      </w:r>
      <w:r w:rsidR="008C63F8" w:rsidRPr="00F83A22">
        <w:rPr>
          <w:rFonts w:cs="Arial"/>
          <w:sz w:val="23"/>
          <w:szCs w:val="23"/>
        </w:rPr>
        <w:t>conditions</w:t>
      </w:r>
      <w:r w:rsidRPr="00F83A22">
        <w:rPr>
          <w:rFonts w:cs="Arial"/>
          <w:sz w:val="23"/>
          <w:szCs w:val="23"/>
        </w:rPr>
        <w:t xml:space="preserve"> (for example severe tooth surface loss</w:t>
      </w:r>
      <w:r w:rsidR="001272C5" w:rsidRPr="00F83A22">
        <w:rPr>
          <w:rFonts w:cs="Arial"/>
          <w:sz w:val="23"/>
          <w:szCs w:val="23"/>
        </w:rPr>
        <w:t>, treatment planning in teenagers with extensive caries)</w:t>
      </w:r>
      <w:r w:rsidR="00AE673A" w:rsidRPr="00F83A22">
        <w:rPr>
          <w:rFonts w:cs="Arial"/>
          <w:sz w:val="23"/>
          <w:szCs w:val="23"/>
        </w:rPr>
        <w:t>.</w:t>
      </w:r>
    </w:p>
    <w:p w14:paraId="4F75BA10" w14:textId="4675DFBF" w:rsidR="001272C5" w:rsidRPr="00F83A22" w:rsidRDefault="001272C5" w:rsidP="00C81DC2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F83A22">
        <w:rPr>
          <w:rFonts w:cs="Arial"/>
          <w:sz w:val="23"/>
          <w:szCs w:val="23"/>
        </w:rPr>
        <w:t xml:space="preserve">Trauma – Please fill in Routine Paediatric Referral form </w:t>
      </w:r>
      <w:r w:rsidR="00AE673A" w:rsidRPr="00F83A22">
        <w:rPr>
          <w:rFonts w:cs="Arial"/>
          <w:sz w:val="23"/>
          <w:szCs w:val="23"/>
        </w:rPr>
        <w:t>and the supplemental</w:t>
      </w:r>
      <w:r w:rsidRPr="00F83A22">
        <w:rPr>
          <w:rFonts w:cs="Arial"/>
          <w:sz w:val="23"/>
          <w:szCs w:val="23"/>
        </w:rPr>
        <w:t xml:space="preserve"> trauma form</w:t>
      </w:r>
      <w:r w:rsidR="00AE673A" w:rsidRPr="00F83A22">
        <w:rPr>
          <w:rFonts w:cs="Arial"/>
          <w:sz w:val="23"/>
          <w:szCs w:val="23"/>
        </w:rPr>
        <w:t>.</w:t>
      </w:r>
    </w:p>
    <w:p w14:paraId="3315890A" w14:textId="39FA9629" w:rsidR="00AE673A" w:rsidRPr="00F83A22" w:rsidRDefault="00AE673A" w:rsidP="00AE673A">
      <w:pPr>
        <w:pStyle w:val="ListParagraph"/>
        <w:jc w:val="both"/>
        <w:rPr>
          <w:rFonts w:cs="Arial"/>
          <w:sz w:val="23"/>
          <w:szCs w:val="23"/>
        </w:rPr>
      </w:pPr>
      <w:r w:rsidRPr="00F83A22">
        <w:rPr>
          <w:rFonts w:cs="Arial"/>
          <w:sz w:val="23"/>
          <w:szCs w:val="23"/>
        </w:rPr>
        <w:t>Primary tooth trauma can mainly be managed in primary care unless needing GA extraction.  Permanent teeth with uncomplicated enamel-dentine fractures or closed apex RCT in older teenagers also do not require referral.  Please see BSPD guidelines for more</w:t>
      </w:r>
      <w:r w:rsidR="00B1416C" w:rsidRPr="00F83A22">
        <w:rPr>
          <w:rFonts w:cs="Arial"/>
          <w:sz w:val="23"/>
          <w:szCs w:val="23"/>
        </w:rPr>
        <w:t xml:space="preserve"> information on management of these types of traumas</w:t>
      </w:r>
      <w:r w:rsidRPr="00F83A22">
        <w:rPr>
          <w:rFonts w:cs="Arial"/>
          <w:sz w:val="23"/>
          <w:szCs w:val="23"/>
        </w:rPr>
        <w:t xml:space="preserve"> </w:t>
      </w:r>
      <w:r w:rsidR="00B1416C" w:rsidRPr="00F83A22">
        <w:rPr>
          <w:rFonts w:cs="Arial"/>
          <w:sz w:val="23"/>
          <w:szCs w:val="23"/>
        </w:rPr>
        <w:t xml:space="preserve">and follow up: </w:t>
      </w:r>
    </w:p>
    <w:p w14:paraId="662A36DD" w14:textId="7C87A8DA" w:rsidR="00B1416C" w:rsidRPr="009D7451" w:rsidRDefault="00B1416C" w:rsidP="00AE673A">
      <w:pPr>
        <w:pStyle w:val="ListParagraph"/>
        <w:jc w:val="both"/>
        <w:rPr>
          <w:color w:val="4472C4" w:themeColor="accent1"/>
          <w:sz w:val="23"/>
          <w:szCs w:val="23"/>
        </w:rPr>
      </w:pPr>
      <w:r w:rsidRPr="009D7451">
        <w:rPr>
          <w:rFonts w:cs="Arial"/>
          <w:color w:val="4472C4" w:themeColor="accent1"/>
          <w:sz w:val="23"/>
          <w:szCs w:val="23"/>
        </w:rPr>
        <w:t>https://www.bspd.co.uk/Professionals/Resources/BSPD-Guidelines</w:t>
      </w:r>
    </w:p>
    <w:p w14:paraId="47887CCE" w14:textId="4758FEAE" w:rsidR="00760658" w:rsidRPr="00F83A22" w:rsidRDefault="001272C5" w:rsidP="0080361A">
      <w:pPr>
        <w:pStyle w:val="ListParagraph"/>
        <w:numPr>
          <w:ilvl w:val="0"/>
          <w:numId w:val="3"/>
        </w:numPr>
        <w:jc w:val="both"/>
        <w:rPr>
          <w:sz w:val="23"/>
          <w:szCs w:val="23"/>
        </w:rPr>
      </w:pPr>
      <w:r w:rsidRPr="00F83A22">
        <w:rPr>
          <w:rFonts w:cs="Arial"/>
          <w:sz w:val="23"/>
          <w:szCs w:val="23"/>
        </w:rPr>
        <w:t xml:space="preserve">Safeguarding concerns regarding dental neglect or non-accidental injury </w:t>
      </w:r>
      <w:r w:rsidR="00AE673A" w:rsidRPr="00F83A22">
        <w:rPr>
          <w:rFonts w:cs="Arial"/>
          <w:sz w:val="23"/>
          <w:szCs w:val="23"/>
        </w:rPr>
        <w:t>– you may want to also send an email or call us the alert us of the incoming referral.</w:t>
      </w:r>
    </w:p>
    <w:p w14:paraId="6878793E" w14:textId="77777777" w:rsidR="00760658" w:rsidRPr="00F83A22" w:rsidRDefault="00760658" w:rsidP="00C81DC2">
      <w:pPr>
        <w:jc w:val="both"/>
        <w:rPr>
          <w:sz w:val="23"/>
          <w:szCs w:val="23"/>
        </w:rPr>
      </w:pPr>
    </w:p>
    <w:p w14:paraId="70D02F64" w14:textId="0E0C9A98" w:rsidR="00760658" w:rsidRPr="00F83A22" w:rsidRDefault="00760658" w:rsidP="00C81DC2">
      <w:pPr>
        <w:jc w:val="both"/>
        <w:rPr>
          <w:sz w:val="23"/>
          <w:szCs w:val="23"/>
        </w:rPr>
      </w:pPr>
      <w:r w:rsidRPr="00F83A22">
        <w:rPr>
          <w:sz w:val="23"/>
          <w:szCs w:val="23"/>
        </w:rPr>
        <w:t xml:space="preserve">Most referrals will be accepted for a single course of treatment and then discharged unless it is felt that a child would be better managed long term in the </w:t>
      </w:r>
      <w:r w:rsidR="00AE673A" w:rsidRPr="00F83A22">
        <w:rPr>
          <w:sz w:val="23"/>
          <w:szCs w:val="23"/>
        </w:rPr>
        <w:t xml:space="preserve">Specialist </w:t>
      </w:r>
      <w:r w:rsidR="00B1416C" w:rsidRPr="00F83A22">
        <w:rPr>
          <w:sz w:val="23"/>
          <w:szCs w:val="23"/>
        </w:rPr>
        <w:t>Paediatric</w:t>
      </w:r>
      <w:r w:rsidR="00AE673A" w:rsidRPr="00F83A22">
        <w:rPr>
          <w:sz w:val="23"/>
          <w:szCs w:val="23"/>
        </w:rPr>
        <w:t xml:space="preserve"> </w:t>
      </w:r>
      <w:r w:rsidRPr="00F83A22">
        <w:rPr>
          <w:sz w:val="23"/>
          <w:szCs w:val="23"/>
        </w:rPr>
        <w:t>Dental Service</w:t>
      </w:r>
      <w:r w:rsidR="00AE673A" w:rsidRPr="00F83A22">
        <w:rPr>
          <w:sz w:val="23"/>
          <w:szCs w:val="23"/>
        </w:rPr>
        <w:t xml:space="preserve"> or a shared care </w:t>
      </w:r>
      <w:r w:rsidR="00B1416C" w:rsidRPr="00F83A22">
        <w:rPr>
          <w:sz w:val="23"/>
          <w:szCs w:val="23"/>
        </w:rPr>
        <w:t>arrangement</w:t>
      </w:r>
      <w:r w:rsidRPr="00F83A22">
        <w:rPr>
          <w:sz w:val="23"/>
          <w:szCs w:val="23"/>
        </w:rPr>
        <w:t>.  It would be expected for most patients that they continue to see their general dental practitioner for routine reviews and prevention following national guidance</w:t>
      </w:r>
      <w:r w:rsidR="00AE673A" w:rsidRPr="00F83A22">
        <w:rPr>
          <w:sz w:val="23"/>
          <w:szCs w:val="23"/>
        </w:rPr>
        <w:t>, whilst waiting for and during management by the Specialist Paediatric Dental Service</w:t>
      </w:r>
      <w:r w:rsidRPr="00F83A22">
        <w:rPr>
          <w:sz w:val="23"/>
          <w:szCs w:val="23"/>
        </w:rPr>
        <w:t>.</w:t>
      </w:r>
    </w:p>
    <w:p w14:paraId="14936B80" w14:textId="768FBC67" w:rsidR="00F83A22" w:rsidRPr="00F83A22" w:rsidRDefault="00F83A22" w:rsidP="00C81DC2">
      <w:pPr>
        <w:jc w:val="both"/>
        <w:rPr>
          <w:sz w:val="23"/>
          <w:szCs w:val="23"/>
        </w:rPr>
      </w:pPr>
    </w:p>
    <w:p w14:paraId="033BB063" w14:textId="2A1CD90F" w:rsidR="00F83A22" w:rsidRPr="00F83A22" w:rsidRDefault="00F83A22" w:rsidP="00C81DC2">
      <w:pPr>
        <w:jc w:val="both"/>
        <w:rPr>
          <w:sz w:val="23"/>
          <w:szCs w:val="23"/>
        </w:rPr>
      </w:pPr>
      <w:r w:rsidRPr="00F83A22">
        <w:rPr>
          <w:sz w:val="23"/>
          <w:szCs w:val="23"/>
        </w:rPr>
        <w:t xml:space="preserve">If the referral is made outside </w:t>
      </w:r>
      <w:proofErr w:type="gramStart"/>
      <w:r w:rsidRPr="00F83A22">
        <w:rPr>
          <w:sz w:val="23"/>
          <w:szCs w:val="23"/>
        </w:rPr>
        <w:t>this criteria</w:t>
      </w:r>
      <w:proofErr w:type="gramEnd"/>
      <w:r w:rsidRPr="00F83A22">
        <w:rPr>
          <w:sz w:val="23"/>
          <w:szCs w:val="23"/>
        </w:rPr>
        <w:t xml:space="preserve"> the referring dentist must justify the reasons why the treatment cannot be undertaken by them in primary dental care.</w:t>
      </w:r>
    </w:p>
    <w:p w14:paraId="2FBFEDC4" w14:textId="71113F75" w:rsidR="00F83A22" w:rsidRPr="00F83A22" w:rsidRDefault="00F83A22" w:rsidP="00C81DC2">
      <w:pPr>
        <w:jc w:val="both"/>
        <w:rPr>
          <w:sz w:val="23"/>
          <w:szCs w:val="23"/>
        </w:rPr>
      </w:pPr>
    </w:p>
    <w:p w14:paraId="3DBC61BE" w14:textId="24AABB02" w:rsidR="00F83A22" w:rsidRPr="00F83A22" w:rsidRDefault="00F83A22" w:rsidP="00C81DC2">
      <w:pPr>
        <w:jc w:val="both"/>
        <w:rPr>
          <w:sz w:val="23"/>
          <w:szCs w:val="23"/>
        </w:rPr>
      </w:pPr>
      <w:r w:rsidRPr="00F83A22">
        <w:rPr>
          <w:sz w:val="23"/>
          <w:szCs w:val="23"/>
        </w:rPr>
        <w:t xml:space="preserve">A referral will only be returned to the referring practitioner after a clinician has reviewed it.  The referring practitioner will be contacted stating the reason for rejection.  It is then up to the practitioner to provide more details before re-referring a patient.  </w:t>
      </w:r>
    </w:p>
    <w:sectPr w:rsidR="00F83A22" w:rsidRPr="00F83A22" w:rsidSect="002D6F7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ACAD" w14:textId="77777777" w:rsidR="00495AB9" w:rsidRDefault="00495AB9" w:rsidP="00F51E9D">
      <w:r>
        <w:separator/>
      </w:r>
    </w:p>
  </w:endnote>
  <w:endnote w:type="continuationSeparator" w:id="0">
    <w:p w14:paraId="122117D8" w14:textId="77777777" w:rsidR="00495AB9" w:rsidRDefault="00495AB9" w:rsidP="00F5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04FF" w14:textId="77777777" w:rsidR="00495AB9" w:rsidRDefault="00495AB9" w:rsidP="00F51E9D">
      <w:r>
        <w:separator/>
      </w:r>
    </w:p>
  </w:footnote>
  <w:footnote w:type="continuationSeparator" w:id="0">
    <w:p w14:paraId="25D9AE87" w14:textId="77777777" w:rsidR="00495AB9" w:rsidRDefault="00495AB9" w:rsidP="00F5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6E4"/>
    <w:multiLevelType w:val="hybridMultilevel"/>
    <w:tmpl w:val="68201286"/>
    <w:lvl w:ilvl="0" w:tplc="9FD4F1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04E5"/>
    <w:multiLevelType w:val="hybridMultilevel"/>
    <w:tmpl w:val="2F3803A8"/>
    <w:lvl w:ilvl="0" w:tplc="62C0D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651A"/>
    <w:multiLevelType w:val="hybridMultilevel"/>
    <w:tmpl w:val="D118393A"/>
    <w:lvl w:ilvl="0" w:tplc="2BCA6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287806">
    <w:abstractNumId w:val="2"/>
  </w:num>
  <w:num w:numId="2" w16cid:durableId="1231580685">
    <w:abstractNumId w:val="1"/>
  </w:num>
  <w:num w:numId="3" w16cid:durableId="51485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33"/>
    <w:rsid w:val="001272C5"/>
    <w:rsid w:val="001B1142"/>
    <w:rsid w:val="00331F9C"/>
    <w:rsid w:val="00332602"/>
    <w:rsid w:val="003559CE"/>
    <w:rsid w:val="00495AB9"/>
    <w:rsid w:val="005F2205"/>
    <w:rsid w:val="00760658"/>
    <w:rsid w:val="008C612B"/>
    <w:rsid w:val="008C63F8"/>
    <w:rsid w:val="008F4B3D"/>
    <w:rsid w:val="00907A33"/>
    <w:rsid w:val="009D7451"/>
    <w:rsid w:val="009F0977"/>
    <w:rsid w:val="00AE673A"/>
    <w:rsid w:val="00B1416C"/>
    <w:rsid w:val="00B40883"/>
    <w:rsid w:val="00B95DC5"/>
    <w:rsid w:val="00BA7069"/>
    <w:rsid w:val="00C56E9A"/>
    <w:rsid w:val="00C7594D"/>
    <w:rsid w:val="00C81DC2"/>
    <w:rsid w:val="00D51E47"/>
    <w:rsid w:val="00D54091"/>
    <w:rsid w:val="00DA6728"/>
    <w:rsid w:val="00F51E9D"/>
    <w:rsid w:val="00F83A22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6AF8"/>
  <w15:docId w15:val="{73CF565A-1123-FD49-A51D-3889D690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33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9D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1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9D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Haynes</dc:creator>
  <cp:lastModifiedBy>O'SULLIVAN, Elizabeth (CITY HEALTH CARE PARTNERSHIP CIC)</cp:lastModifiedBy>
  <cp:revision>2</cp:revision>
  <cp:lastPrinted>2021-05-14T07:22:00Z</cp:lastPrinted>
  <dcterms:created xsi:type="dcterms:W3CDTF">2023-07-27T12:28:00Z</dcterms:created>
  <dcterms:modified xsi:type="dcterms:W3CDTF">2023-07-27T12:28:00Z</dcterms:modified>
</cp:coreProperties>
</file>