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53EC" w14:textId="77777777" w:rsidR="00C43B5A" w:rsidRDefault="00C43B5A" w:rsidP="00C43B5A">
      <w:pPr>
        <w:jc w:val="center"/>
        <w:rPr>
          <w:rFonts w:ascii="Arial" w:hAnsi="Arial" w:cs="Arial"/>
          <w:b/>
          <w:sz w:val="24"/>
          <w:szCs w:val="24"/>
          <w:u w:val="single"/>
        </w:rPr>
      </w:pPr>
    </w:p>
    <w:p w14:paraId="21B05416" w14:textId="1E55E855" w:rsidR="00C43B5A" w:rsidRPr="00213F9B" w:rsidRDefault="00DA413C" w:rsidP="00213F9B">
      <w:pPr>
        <w:pStyle w:val="NoSpacing"/>
        <w:jc w:val="center"/>
        <w:rPr>
          <w:rFonts w:ascii="Arial" w:hAnsi="Arial" w:cs="Arial"/>
          <w:b/>
          <w:bCs/>
          <w:sz w:val="24"/>
          <w:szCs w:val="24"/>
        </w:rPr>
      </w:pPr>
      <w:r w:rsidRPr="00213F9B">
        <w:rPr>
          <w:rFonts w:ascii="Arial" w:hAnsi="Arial" w:cs="Arial"/>
          <w:b/>
          <w:bCs/>
          <w:sz w:val="24"/>
          <w:szCs w:val="24"/>
        </w:rPr>
        <w:t>PATIENT ACCEPTANCE CRITERIA</w:t>
      </w:r>
    </w:p>
    <w:p w14:paraId="14576D47" w14:textId="60BECAB6" w:rsidR="00213F9B" w:rsidRDefault="00C43B5A" w:rsidP="00213F9B">
      <w:pPr>
        <w:pStyle w:val="NoSpacing"/>
        <w:jc w:val="center"/>
        <w:rPr>
          <w:rFonts w:ascii="Arial" w:hAnsi="Arial" w:cs="Arial"/>
          <w:b/>
          <w:bCs/>
          <w:sz w:val="24"/>
          <w:szCs w:val="24"/>
        </w:rPr>
      </w:pPr>
      <w:r w:rsidRPr="00213F9B">
        <w:rPr>
          <w:rFonts w:ascii="Arial" w:hAnsi="Arial" w:cs="Arial"/>
          <w:b/>
          <w:bCs/>
          <w:sz w:val="24"/>
          <w:szCs w:val="24"/>
        </w:rPr>
        <w:t xml:space="preserve">ADULT </w:t>
      </w:r>
      <w:r w:rsidR="00DA413C" w:rsidRPr="00213F9B">
        <w:rPr>
          <w:rFonts w:ascii="Arial" w:hAnsi="Arial" w:cs="Arial"/>
          <w:b/>
          <w:bCs/>
          <w:sz w:val="24"/>
          <w:szCs w:val="24"/>
        </w:rPr>
        <w:t>SPECIAL CARE DENTAL SERVICE</w:t>
      </w:r>
    </w:p>
    <w:p w14:paraId="12738D0C" w14:textId="77777777" w:rsidR="00213F9B" w:rsidRPr="00213F9B" w:rsidRDefault="00213F9B" w:rsidP="00213F9B">
      <w:pPr>
        <w:pStyle w:val="NoSpacing"/>
        <w:jc w:val="center"/>
        <w:rPr>
          <w:rFonts w:ascii="Arial" w:hAnsi="Arial" w:cs="Arial"/>
          <w:b/>
          <w:bCs/>
          <w:sz w:val="24"/>
          <w:szCs w:val="24"/>
        </w:rPr>
      </w:pPr>
    </w:p>
    <w:p w14:paraId="7907E6AD" w14:textId="301BC3EC" w:rsidR="00213F9B" w:rsidRPr="009C7667" w:rsidRDefault="00213F9B" w:rsidP="009C7667">
      <w:pPr>
        <w:pStyle w:val="NoSpacing"/>
        <w:jc w:val="both"/>
        <w:rPr>
          <w:rFonts w:ascii="Arial" w:eastAsia="Times New Roman" w:hAnsi="Arial" w:cs="Arial"/>
        </w:rPr>
      </w:pPr>
      <w:r w:rsidRPr="009C7667">
        <w:rPr>
          <w:rFonts w:ascii="Arial" w:hAnsi="Arial" w:cs="Arial"/>
          <w:bCs/>
        </w:rPr>
        <w:t xml:space="preserve">The Adult Special Care Dentistry (SCD) Service is for those patients over the age of 16 years </w:t>
      </w:r>
      <w:r w:rsidRPr="009C7667">
        <w:rPr>
          <w:rFonts w:ascii="Arial" w:eastAsia="Times New Roman" w:hAnsi="Arial" w:cs="Arial"/>
        </w:rPr>
        <w:t xml:space="preserve">whose needs may not be accommodated in NHS General Dental Services. </w:t>
      </w:r>
      <w:r w:rsidR="007C1C1C" w:rsidRPr="009C7667">
        <w:rPr>
          <w:rFonts w:ascii="Arial" w:eastAsia="Times New Roman" w:hAnsi="Arial" w:cs="Arial"/>
        </w:rPr>
        <w:t xml:space="preserve">  We accept patients who live within the boundaries of Hull and East Riding only.</w:t>
      </w:r>
    </w:p>
    <w:p w14:paraId="3F29694B" w14:textId="77777777" w:rsidR="00213F9B" w:rsidRPr="009C7667" w:rsidRDefault="00213F9B" w:rsidP="009C7667">
      <w:pPr>
        <w:pStyle w:val="NoSpacing"/>
        <w:jc w:val="both"/>
        <w:rPr>
          <w:rFonts w:ascii="Arial" w:eastAsia="Times New Roman" w:hAnsi="Arial" w:cs="Arial"/>
        </w:rPr>
      </w:pPr>
    </w:p>
    <w:p w14:paraId="32B93232" w14:textId="4D865B64" w:rsidR="00213F9B" w:rsidRPr="009C7667" w:rsidRDefault="00213F9B" w:rsidP="009C7667">
      <w:pPr>
        <w:pStyle w:val="NoSpacing"/>
        <w:jc w:val="both"/>
        <w:rPr>
          <w:rFonts w:ascii="Arial" w:eastAsia="Times New Roman" w:hAnsi="Arial" w:cs="Arial"/>
        </w:rPr>
      </w:pPr>
      <w:r w:rsidRPr="009C7667">
        <w:rPr>
          <w:rFonts w:ascii="Arial" w:eastAsia="Times New Roman" w:hAnsi="Arial" w:cs="Arial"/>
        </w:rPr>
        <w:t xml:space="preserve">There are </w:t>
      </w:r>
      <w:r w:rsidR="009C7667" w:rsidRPr="009C7667">
        <w:rPr>
          <w:rFonts w:ascii="Arial" w:eastAsia="Times New Roman" w:hAnsi="Arial" w:cs="Arial"/>
        </w:rPr>
        <w:t>four</w:t>
      </w:r>
      <w:r w:rsidRPr="009C7667">
        <w:rPr>
          <w:rFonts w:ascii="Arial" w:eastAsia="Times New Roman" w:hAnsi="Arial" w:cs="Arial"/>
        </w:rPr>
        <w:t xml:space="preserve"> referral forms:</w:t>
      </w:r>
    </w:p>
    <w:p w14:paraId="05C77ABD" w14:textId="77777777" w:rsidR="00213F9B" w:rsidRPr="009C7667" w:rsidRDefault="00213F9B" w:rsidP="009C7667">
      <w:pPr>
        <w:pStyle w:val="NoSpacing"/>
        <w:numPr>
          <w:ilvl w:val="0"/>
          <w:numId w:val="3"/>
        </w:numPr>
        <w:jc w:val="both"/>
        <w:rPr>
          <w:rFonts w:ascii="Arial" w:eastAsia="Times New Roman" w:hAnsi="Arial" w:cs="Arial"/>
        </w:rPr>
      </w:pPr>
      <w:r w:rsidRPr="009C7667">
        <w:rPr>
          <w:rFonts w:ascii="Arial" w:eastAsia="Times New Roman" w:hAnsi="Arial" w:cs="Arial"/>
        </w:rPr>
        <w:t xml:space="preserve">General Adult Special Care Dentistry Referral </w:t>
      </w:r>
    </w:p>
    <w:p w14:paraId="50BC5E94" w14:textId="77777777" w:rsidR="00213F9B" w:rsidRPr="009C7667" w:rsidRDefault="00213F9B" w:rsidP="009C7667">
      <w:pPr>
        <w:pStyle w:val="NoSpacing"/>
        <w:numPr>
          <w:ilvl w:val="0"/>
          <w:numId w:val="3"/>
        </w:numPr>
        <w:jc w:val="both"/>
        <w:rPr>
          <w:rFonts w:ascii="Arial" w:eastAsia="Times New Roman" w:hAnsi="Arial" w:cs="Arial"/>
        </w:rPr>
      </w:pPr>
      <w:r w:rsidRPr="009C7667">
        <w:rPr>
          <w:rFonts w:ascii="Arial" w:eastAsia="Times New Roman" w:hAnsi="Arial" w:cs="Arial"/>
        </w:rPr>
        <w:t xml:space="preserve">Oncology Referral </w:t>
      </w:r>
    </w:p>
    <w:p w14:paraId="65853D43" w14:textId="5F9AF0BF" w:rsidR="00213F9B" w:rsidRPr="009C7667" w:rsidRDefault="00213F9B" w:rsidP="009C7667">
      <w:pPr>
        <w:pStyle w:val="NoSpacing"/>
        <w:numPr>
          <w:ilvl w:val="0"/>
          <w:numId w:val="3"/>
        </w:numPr>
        <w:jc w:val="both"/>
        <w:rPr>
          <w:rFonts w:ascii="Arial" w:eastAsia="Times New Roman" w:hAnsi="Arial" w:cs="Arial"/>
        </w:rPr>
      </w:pPr>
      <w:r w:rsidRPr="009C7667">
        <w:rPr>
          <w:rFonts w:ascii="Arial" w:eastAsia="Times New Roman" w:hAnsi="Arial" w:cs="Arial"/>
        </w:rPr>
        <w:t xml:space="preserve">Adults with a severe dental anxiety/dental phobia – please complete </w:t>
      </w:r>
      <w:r w:rsidR="003F124A" w:rsidRPr="009C7667">
        <w:rPr>
          <w:rFonts w:ascii="Arial" w:eastAsia="Times New Roman" w:hAnsi="Arial" w:cs="Arial"/>
        </w:rPr>
        <w:t xml:space="preserve">both </w:t>
      </w:r>
      <w:r w:rsidRPr="009C7667">
        <w:rPr>
          <w:rFonts w:ascii="Arial" w:eastAsia="Times New Roman" w:hAnsi="Arial" w:cs="Arial"/>
        </w:rPr>
        <w:t xml:space="preserve">the Adult SCD Referral Form and the </w:t>
      </w:r>
      <w:r w:rsidR="009C7667" w:rsidRPr="009C7667">
        <w:rPr>
          <w:rFonts w:ascii="Arial" w:eastAsia="Times New Roman" w:hAnsi="Arial" w:cs="Arial"/>
        </w:rPr>
        <w:t xml:space="preserve">dental anxiety/phobia </w:t>
      </w:r>
      <w:r w:rsidRPr="009C7667">
        <w:rPr>
          <w:rFonts w:ascii="Arial" w:eastAsia="Times New Roman" w:hAnsi="Arial" w:cs="Arial"/>
        </w:rPr>
        <w:t>supplemental form.</w:t>
      </w:r>
    </w:p>
    <w:p w14:paraId="338541E3" w14:textId="0724A19E" w:rsidR="009C7667" w:rsidRPr="009C7667" w:rsidRDefault="009C7667" w:rsidP="009C7667">
      <w:pPr>
        <w:pStyle w:val="NoSpacing"/>
        <w:numPr>
          <w:ilvl w:val="0"/>
          <w:numId w:val="3"/>
        </w:numPr>
        <w:jc w:val="both"/>
        <w:rPr>
          <w:rFonts w:ascii="Arial" w:eastAsia="Times New Roman" w:hAnsi="Arial" w:cs="Arial"/>
        </w:rPr>
      </w:pPr>
      <w:r w:rsidRPr="009C7667">
        <w:rPr>
          <w:rFonts w:ascii="Arial" w:eastAsia="Times New Roman" w:hAnsi="Arial" w:cs="Arial"/>
        </w:rPr>
        <w:t xml:space="preserve">Adults requiring a domiciliary visit – please complete both the Adult SCD Referral Form and the domiciliary supplemental </w:t>
      </w:r>
      <w:proofErr w:type="gramStart"/>
      <w:r w:rsidRPr="009C7667">
        <w:rPr>
          <w:rFonts w:ascii="Arial" w:eastAsia="Times New Roman" w:hAnsi="Arial" w:cs="Arial"/>
        </w:rPr>
        <w:t>form</w:t>
      </w:r>
      <w:proofErr w:type="gramEnd"/>
      <w:r w:rsidRPr="009C7667">
        <w:rPr>
          <w:rFonts w:ascii="Arial" w:eastAsia="Times New Roman" w:hAnsi="Arial" w:cs="Arial"/>
        </w:rPr>
        <w:t xml:space="preserve"> </w:t>
      </w:r>
    </w:p>
    <w:p w14:paraId="438C29F4" w14:textId="77777777" w:rsidR="00213F9B" w:rsidRPr="009C7667" w:rsidRDefault="00213F9B" w:rsidP="009C7667">
      <w:pPr>
        <w:pStyle w:val="NoSpacing"/>
        <w:jc w:val="both"/>
        <w:rPr>
          <w:rFonts w:ascii="Arial" w:eastAsia="Times New Roman" w:hAnsi="Arial" w:cs="Arial"/>
        </w:rPr>
      </w:pPr>
    </w:p>
    <w:p w14:paraId="73323DB8" w14:textId="77777777" w:rsidR="00213F9B" w:rsidRPr="009C7667" w:rsidRDefault="00213F9B" w:rsidP="009C7667">
      <w:pPr>
        <w:pStyle w:val="NoSpacing"/>
        <w:jc w:val="both"/>
        <w:rPr>
          <w:rFonts w:ascii="Arial" w:hAnsi="Arial" w:cs="Arial"/>
          <w:bCs/>
        </w:rPr>
      </w:pPr>
      <w:r w:rsidRPr="009C7667">
        <w:rPr>
          <w:rFonts w:ascii="Arial" w:eastAsia="Times New Roman" w:hAnsi="Arial" w:cs="Arial"/>
        </w:rPr>
        <w:t>The main types of referrals that will be accepted includes the following groups:</w:t>
      </w:r>
    </w:p>
    <w:p w14:paraId="6976B201" w14:textId="77777777" w:rsidR="00213F9B" w:rsidRPr="009C7667" w:rsidRDefault="00213F9B" w:rsidP="009C7667">
      <w:pPr>
        <w:spacing w:after="0" w:line="240" w:lineRule="auto"/>
        <w:jc w:val="both"/>
        <w:rPr>
          <w:rFonts w:ascii="Arial" w:eastAsia="Times New Roman" w:hAnsi="Arial" w:cs="Arial"/>
        </w:rPr>
      </w:pPr>
    </w:p>
    <w:p w14:paraId="0997BB71" w14:textId="625B1669" w:rsidR="00213F9B" w:rsidRPr="009C7667" w:rsidRDefault="00213F9B" w:rsidP="009C7667">
      <w:pPr>
        <w:pStyle w:val="ListParagraph"/>
        <w:numPr>
          <w:ilvl w:val="0"/>
          <w:numId w:val="1"/>
        </w:numPr>
        <w:spacing w:after="0" w:line="240" w:lineRule="auto"/>
        <w:ind w:left="1440" w:hanging="720"/>
        <w:jc w:val="both"/>
        <w:rPr>
          <w:rFonts w:ascii="Arial" w:eastAsia="Times New Roman" w:hAnsi="Arial" w:cs="Arial"/>
        </w:rPr>
      </w:pPr>
      <w:r w:rsidRPr="009C7667">
        <w:rPr>
          <w:rFonts w:ascii="Arial" w:eastAsia="Times New Roman" w:hAnsi="Arial" w:cs="Arial"/>
        </w:rPr>
        <w:t>People with moderate/severe and profound multiple learning disabilities</w:t>
      </w:r>
    </w:p>
    <w:p w14:paraId="1CFE80D2" w14:textId="15A01A48" w:rsidR="00213F9B" w:rsidRPr="009C7667" w:rsidRDefault="00213F9B" w:rsidP="009C7667">
      <w:pPr>
        <w:pStyle w:val="ListParagraph"/>
        <w:numPr>
          <w:ilvl w:val="0"/>
          <w:numId w:val="1"/>
        </w:numPr>
        <w:spacing w:after="0" w:line="240" w:lineRule="auto"/>
        <w:ind w:left="1440" w:hanging="720"/>
        <w:jc w:val="both"/>
        <w:rPr>
          <w:rFonts w:ascii="Arial" w:eastAsia="Times New Roman" w:hAnsi="Arial" w:cs="Arial"/>
        </w:rPr>
      </w:pPr>
      <w:r w:rsidRPr="009C7667">
        <w:rPr>
          <w:rFonts w:ascii="Arial" w:eastAsia="Times New Roman" w:hAnsi="Arial" w:cs="Arial"/>
        </w:rPr>
        <w:t>People with moderate/severe physical and/or communication impairment</w:t>
      </w:r>
    </w:p>
    <w:p w14:paraId="6AA0B68D" w14:textId="054CB291" w:rsidR="00213F9B" w:rsidRPr="009C7667" w:rsidRDefault="00213F9B" w:rsidP="009C7667">
      <w:pPr>
        <w:pStyle w:val="ListParagraph"/>
        <w:numPr>
          <w:ilvl w:val="0"/>
          <w:numId w:val="1"/>
        </w:numPr>
        <w:spacing w:after="0" w:line="240" w:lineRule="auto"/>
        <w:ind w:left="1440" w:hanging="720"/>
        <w:jc w:val="both"/>
        <w:rPr>
          <w:rFonts w:ascii="Arial" w:eastAsia="Times New Roman" w:hAnsi="Arial" w:cs="Arial"/>
        </w:rPr>
      </w:pPr>
      <w:r w:rsidRPr="009C7667">
        <w:rPr>
          <w:rFonts w:ascii="Arial" w:eastAsia="Times New Roman" w:hAnsi="Arial" w:cs="Arial"/>
        </w:rPr>
        <w:t xml:space="preserve">People with moderate/severe chronic mental health conditions including </w:t>
      </w:r>
      <w:proofErr w:type="gramStart"/>
      <w:r w:rsidRPr="009C7667">
        <w:rPr>
          <w:rFonts w:ascii="Arial" w:eastAsia="Times New Roman" w:hAnsi="Arial" w:cs="Arial"/>
        </w:rPr>
        <w:t>dementia</w:t>
      </w:r>
      <w:proofErr w:type="gramEnd"/>
    </w:p>
    <w:p w14:paraId="32883D41" w14:textId="2B02F0E6" w:rsidR="00213F9B" w:rsidRPr="009C7667" w:rsidRDefault="00213F9B" w:rsidP="009C7667">
      <w:pPr>
        <w:pStyle w:val="ListParagraph"/>
        <w:numPr>
          <w:ilvl w:val="0"/>
          <w:numId w:val="1"/>
        </w:numPr>
        <w:spacing w:after="0" w:line="240" w:lineRule="auto"/>
        <w:ind w:left="1440" w:hanging="720"/>
        <w:jc w:val="both"/>
        <w:rPr>
          <w:rFonts w:ascii="Arial" w:eastAsia="Times New Roman" w:hAnsi="Arial" w:cs="Arial"/>
        </w:rPr>
      </w:pPr>
      <w:r w:rsidRPr="009C7667">
        <w:rPr>
          <w:rFonts w:ascii="Arial" w:eastAsia="Times New Roman" w:hAnsi="Arial" w:cs="Arial"/>
        </w:rPr>
        <w:t>People with complex medical conditions</w:t>
      </w:r>
    </w:p>
    <w:p w14:paraId="2FA2AE05" w14:textId="21A606A2" w:rsidR="00213F9B" w:rsidRPr="009C7667" w:rsidRDefault="00213F9B" w:rsidP="009C7667">
      <w:pPr>
        <w:pStyle w:val="ListParagraph"/>
        <w:numPr>
          <w:ilvl w:val="0"/>
          <w:numId w:val="1"/>
        </w:numPr>
        <w:spacing w:after="0" w:line="240" w:lineRule="auto"/>
        <w:ind w:left="1440" w:hanging="720"/>
        <w:jc w:val="both"/>
        <w:rPr>
          <w:rFonts w:ascii="Arial" w:eastAsia="Times New Roman" w:hAnsi="Arial" w:cs="Arial"/>
        </w:rPr>
      </w:pPr>
      <w:r w:rsidRPr="009C7667">
        <w:rPr>
          <w:rFonts w:ascii="Arial" w:eastAsia="Times New Roman" w:hAnsi="Arial" w:cs="Arial"/>
        </w:rPr>
        <w:t xml:space="preserve">People with severe dental anxiety or dental phobia. Any patients with dental anxiety/phobia will initially be referred for a screening appointment with the emotional wellbeing service, Let’s Talk, for suitability to engage in cognitive behavioural therapy prior to being accepted to the Adult SCD waiting list. </w:t>
      </w:r>
    </w:p>
    <w:p w14:paraId="0EFAD3A1" w14:textId="661431DA" w:rsidR="00213F9B" w:rsidRPr="009C7667" w:rsidRDefault="00213F9B" w:rsidP="009C7667">
      <w:pPr>
        <w:pStyle w:val="ListParagraph"/>
        <w:numPr>
          <w:ilvl w:val="0"/>
          <w:numId w:val="1"/>
        </w:numPr>
        <w:spacing w:after="0" w:line="240" w:lineRule="auto"/>
        <w:ind w:left="1440" w:hanging="720"/>
        <w:jc w:val="both"/>
        <w:rPr>
          <w:rFonts w:ascii="Arial" w:eastAsia="Times New Roman" w:hAnsi="Arial" w:cs="Arial"/>
          <w:color w:val="212121"/>
        </w:rPr>
      </w:pPr>
      <w:r w:rsidRPr="009C7667">
        <w:rPr>
          <w:rFonts w:ascii="Arial" w:eastAsia="Times New Roman" w:hAnsi="Arial" w:cs="Arial"/>
        </w:rPr>
        <w:t xml:space="preserve">Bariatric people </w:t>
      </w:r>
    </w:p>
    <w:p w14:paraId="47958AD9" w14:textId="77777777" w:rsidR="00213F9B" w:rsidRPr="009C7667" w:rsidRDefault="00213F9B" w:rsidP="009C7667">
      <w:pPr>
        <w:pStyle w:val="ListParagraph"/>
        <w:spacing w:after="0" w:line="240" w:lineRule="auto"/>
        <w:ind w:left="1440"/>
        <w:jc w:val="both"/>
        <w:rPr>
          <w:rFonts w:ascii="Arial" w:eastAsia="Times New Roman" w:hAnsi="Arial" w:cs="Arial"/>
          <w:color w:val="212121"/>
        </w:rPr>
      </w:pPr>
    </w:p>
    <w:p w14:paraId="4EFC8BFC" w14:textId="5E6A7ABE" w:rsidR="00213F9B" w:rsidRPr="009C7667" w:rsidRDefault="00213F9B" w:rsidP="009C7667">
      <w:pPr>
        <w:spacing w:after="0" w:line="240" w:lineRule="auto"/>
        <w:jc w:val="both"/>
        <w:rPr>
          <w:rFonts w:ascii="Arial" w:eastAsia="Times New Roman" w:hAnsi="Arial" w:cs="Arial"/>
        </w:rPr>
      </w:pPr>
      <w:r w:rsidRPr="009C7667">
        <w:rPr>
          <w:rFonts w:ascii="Arial" w:eastAsia="Times New Roman" w:hAnsi="Arial" w:cs="Arial"/>
        </w:rPr>
        <w:t xml:space="preserve">Other vulnerable groups who </w:t>
      </w:r>
      <w:r w:rsidRPr="009C7667">
        <w:rPr>
          <w:rFonts w:ascii="Arial" w:eastAsia="Times New Roman" w:hAnsi="Arial" w:cs="Arial"/>
          <w:b/>
          <w:u w:val="single"/>
        </w:rPr>
        <w:t>may</w:t>
      </w:r>
      <w:r w:rsidRPr="009C7667">
        <w:rPr>
          <w:rFonts w:ascii="Arial" w:eastAsia="Times New Roman" w:hAnsi="Arial" w:cs="Arial"/>
        </w:rPr>
        <w:t xml:space="preserve"> need to access the Adult SCD service for some, or all, of their care include, but are not exclusive to: </w:t>
      </w:r>
    </w:p>
    <w:p w14:paraId="499324A1" w14:textId="77777777" w:rsidR="00213F9B" w:rsidRPr="009C7667" w:rsidRDefault="00213F9B" w:rsidP="009C7667">
      <w:pPr>
        <w:spacing w:after="0" w:line="240" w:lineRule="auto"/>
        <w:jc w:val="both"/>
        <w:rPr>
          <w:rFonts w:ascii="Arial" w:eastAsia="Times New Roman" w:hAnsi="Arial" w:cs="Arial"/>
        </w:rPr>
      </w:pPr>
    </w:p>
    <w:p w14:paraId="2CF1056A" w14:textId="62C2D905" w:rsidR="00213F9B" w:rsidRPr="009C7667" w:rsidRDefault="00213F9B" w:rsidP="009C7667">
      <w:pPr>
        <w:pStyle w:val="ListParagraph"/>
        <w:numPr>
          <w:ilvl w:val="0"/>
          <w:numId w:val="2"/>
        </w:numPr>
        <w:tabs>
          <w:tab w:val="left" w:pos="1440"/>
        </w:tabs>
        <w:spacing w:after="0" w:line="240" w:lineRule="auto"/>
        <w:ind w:left="1440" w:hanging="720"/>
        <w:jc w:val="both"/>
        <w:rPr>
          <w:rFonts w:ascii="Arial" w:eastAsia="Times New Roman" w:hAnsi="Arial" w:cs="Arial"/>
        </w:rPr>
      </w:pPr>
      <w:r w:rsidRPr="009C7667">
        <w:rPr>
          <w:rFonts w:ascii="Arial" w:eastAsia="Times New Roman" w:hAnsi="Arial" w:cs="Arial"/>
        </w:rPr>
        <w:t>Socially excluded people, for example homeless, migrants, asylum seekers, refugees, gypsies, travellers and sex workers</w:t>
      </w:r>
    </w:p>
    <w:p w14:paraId="053BE592" w14:textId="77777777" w:rsidR="009C7667" w:rsidRPr="009C7667" w:rsidRDefault="00213F9B" w:rsidP="009C7667">
      <w:pPr>
        <w:pStyle w:val="ListParagraph"/>
        <w:numPr>
          <w:ilvl w:val="0"/>
          <w:numId w:val="2"/>
        </w:numPr>
        <w:tabs>
          <w:tab w:val="left" w:pos="1440"/>
        </w:tabs>
        <w:spacing w:after="0" w:line="240" w:lineRule="auto"/>
        <w:ind w:left="1440" w:hanging="720"/>
        <w:jc w:val="both"/>
        <w:rPr>
          <w:rFonts w:ascii="Arial" w:eastAsia="Times New Roman" w:hAnsi="Arial" w:cs="Arial"/>
        </w:rPr>
      </w:pPr>
      <w:r w:rsidRPr="009C7667">
        <w:rPr>
          <w:rFonts w:ascii="Arial" w:eastAsia="Times New Roman" w:hAnsi="Arial" w:cs="Arial"/>
        </w:rPr>
        <w:t>People with drug or alcohol addiction problems</w:t>
      </w:r>
    </w:p>
    <w:p w14:paraId="289D97D7" w14:textId="491351F4" w:rsidR="00213F9B" w:rsidRPr="009C7667" w:rsidRDefault="00213F9B" w:rsidP="009C7667">
      <w:pPr>
        <w:pStyle w:val="ListParagraph"/>
        <w:numPr>
          <w:ilvl w:val="0"/>
          <w:numId w:val="2"/>
        </w:numPr>
        <w:tabs>
          <w:tab w:val="left" w:pos="1440"/>
        </w:tabs>
        <w:spacing w:after="0" w:line="240" w:lineRule="auto"/>
        <w:ind w:left="1440" w:hanging="720"/>
        <w:jc w:val="both"/>
        <w:rPr>
          <w:rFonts w:ascii="Arial" w:eastAsia="Times New Roman" w:hAnsi="Arial" w:cs="Arial"/>
        </w:rPr>
      </w:pPr>
      <w:r w:rsidRPr="009C7667">
        <w:rPr>
          <w:rFonts w:ascii="Arial" w:eastAsia="Times New Roman" w:hAnsi="Arial" w:cs="Arial"/>
        </w:rPr>
        <w:t>People living in secure units.</w:t>
      </w:r>
    </w:p>
    <w:p w14:paraId="47614EE5" w14:textId="77777777" w:rsidR="009C7667" w:rsidRPr="009C7667" w:rsidRDefault="009C7667" w:rsidP="009C7667">
      <w:pPr>
        <w:jc w:val="both"/>
        <w:rPr>
          <w:rFonts w:ascii="Arial" w:hAnsi="Arial" w:cs="Arial"/>
        </w:rPr>
      </w:pPr>
    </w:p>
    <w:p w14:paraId="0DA0B05E" w14:textId="65E2C30A" w:rsidR="00213F9B" w:rsidRPr="009C7667" w:rsidRDefault="00213F9B" w:rsidP="009C7667">
      <w:pPr>
        <w:jc w:val="both"/>
        <w:rPr>
          <w:rFonts w:ascii="Arial" w:hAnsi="Arial" w:cs="Arial"/>
        </w:rPr>
      </w:pPr>
      <w:r w:rsidRPr="009C7667">
        <w:rPr>
          <w:rFonts w:ascii="Arial" w:hAnsi="Arial" w:cs="Arial"/>
        </w:rPr>
        <w:t xml:space="preserve">Most referrals will be accepted for a single course of treatment and then discharged unless it is felt that the adult would be better managed long term in the Adult SCD Service or a shared care arrangement. </w:t>
      </w:r>
    </w:p>
    <w:p w14:paraId="16005C12" w14:textId="0D20D798" w:rsidR="00213F9B" w:rsidRPr="009C7667" w:rsidRDefault="00213F9B" w:rsidP="009C7667">
      <w:pPr>
        <w:jc w:val="both"/>
        <w:rPr>
          <w:rFonts w:ascii="Arial" w:hAnsi="Arial" w:cs="Arial"/>
        </w:rPr>
      </w:pPr>
      <w:r w:rsidRPr="009C7667">
        <w:rPr>
          <w:rFonts w:ascii="Arial" w:hAnsi="Arial" w:cs="Arial"/>
        </w:rPr>
        <w:t>It would be expected that for most patients that they continue to see their General Dental Practitioner for routine reviews and prevention following national guidance, whilst waiting for management by the Adult SCD Service.</w:t>
      </w:r>
    </w:p>
    <w:p w14:paraId="05954C72" w14:textId="33BF6694" w:rsidR="003F124A" w:rsidRPr="009C7667" w:rsidRDefault="003F124A" w:rsidP="009C7667">
      <w:pPr>
        <w:jc w:val="both"/>
        <w:rPr>
          <w:rFonts w:ascii="Arial" w:hAnsi="Arial" w:cs="Arial"/>
        </w:rPr>
      </w:pPr>
      <w:r w:rsidRPr="009C7667">
        <w:rPr>
          <w:rFonts w:ascii="Arial" w:hAnsi="Arial" w:cs="Arial"/>
        </w:rPr>
        <w:t xml:space="preserve">If the referral is made outside </w:t>
      </w:r>
      <w:proofErr w:type="gramStart"/>
      <w:r w:rsidRPr="009C7667">
        <w:rPr>
          <w:rFonts w:ascii="Arial" w:hAnsi="Arial" w:cs="Arial"/>
        </w:rPr>
        <w:t>this criteria</w:t>
      </w:r>
      <w:proofErr w:type="gramEnd"/>
      <w:r w:rsidRPr="009C7667">
        <w:rPr>
          <w:rFonts w:ascii="Arial" w:hAnsi="Arial" w:cs="Arial"/>
        </w:rPr>
        <w:t xml:space="preserve"> the referring dentist must justify the reasons why the treatment cannot be undertaken by them in primary dental care.</w:t>
      </w:r>
    </w:p>
    <w:p w14:paraId="5284BB3B" w14:textId="04821B56" w:rsidR="003D5E50" w:rsidRPr="009C7667" w:rsidRDefault="003F124A" w:rsidP="009C7667">
      <w:pPr>
        <w:jc w:val="both"/>
        <w:rPr>
          <w:rFonts w:asciiTheme="majorHAnsi" w:hAnsiTheme="majorHAnsi"/>
        </w:rPr>
      </w:pPr>
      <w:r w:rsidRPr="009C7667">
        <w:rPr>
          <w:rFonts w:ascii="Arial" w:hAnsi="Arial" w:cs="Arial"/>
        </w:rPr>
        <w:t xml:space="preserve">A referral will only be returned to the referring practitioner after a clinician has reviewed it.  The referring practitioner will be contacted stating the reason for rejection.  It is then up to the practitioner to provide more details before re-referring a patient.  </w:t>
      </w:r>
    </w:p>
    <w:sectPr w:rsidR="003D5E50" w:rsidRPr="009C76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CD57" w14:textId="77777777" w:rsidR="00265886" w:rsidRDefault="00265886" w:rsidP="00C43B5A">
      <w:pPr>
        <w:spacing w:after="0" w:line="240" w:lineRule="auto"/>
      </w:pPr>
      <w:r>
        <w:separator/>
      </w:r>
    </w:p>
  </w:endnote>
  <w:endnote w:type="continuationSeparator" w:id="0">
    <w:p w14:paraId="6577065A" w14:textId="77777777" w:rsidR="00265886" w:rsidRDefault="00265886" w:rsidP="00C4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5D19" w14:textId="77777777" w:rsidR="00265886" w:rsidRDefault="00265886" w:rsidP="00C43B5A">
      <w:pPr>
        <w:spacing w:after="0" w:line="240" w:lineRule="auto"/>
      </w:pPr>
      <w:r>
        <w:separator/>
      </w:r>
    </w:p>
  </w:footnote>
  <w:footnote w:type="continuationSeparator" w:id="0">
    <w:p w14:paraId="2A157D05" w14:textId="77777777" w:rsidR="00265886" w:rsidRDefault="00265886" w:rsidP="00C43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D91B" w14:textId="77777777" w:rsidR="00C43B5A" w:rsidRDefault="00AB606F">
    <w:pPr>
      <w:pStyle w:val="Header"/>
    </w:pPr>
    <w:r>
      <w:rPr>
        <w:noProof/>
        <w:lang w:eastAsia="en-GB"/>
      </w:rPr>
      <w:drawing>
        <wp:anchor distT="0" distB="0" distL="114300" distR="114300" simplePos="0" relativeHeight="251658240" behindDoc="1" locked="1" layoutInCell="1" allowOverlap="1" wp14:anchorId="7FCC1BB0" wp14:editId="699B0293">
          <wp:simplePos x="0" y="0"/>
          <wp:positionH relativeFrom="column">
            <wp:posOffset>3892550</wp:posOffset>
          </wp:positionH>
          <wp:positionV relativeFrom="page">
            <wp:posOffset>-104775</wp:posOffset>
          </wp:positionV>
          <wp:extent cx="7559675" cy="1432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3370D"/>
    <w:multiLevelType w:val="hybridMultilevel"/>
    <w:tmpl w:val="57B8A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122B84"/>
    <w:multiLevelType w:val="hybridMultilevel"/>
    <w:tmpl w:val="418CF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F320C9"/>
    <w:multiLevelType w:val="hybridMultilevel"/>
    <w:tmpl w:val="DA7E928C"/>
    <w:lvl w:ilvl="0" w:tplc="0809000F">
      <w:start w:val="1"/>
      <w:numFmt w:val="decimal"/>
      <w:lvlText w:val="%1."/>
      <w:lvlJc w:val="left"/>
      <w:pPr>
        <w:ind w:left="2115" w:hanging="360"/>
      </w:pPr>
    </w:lvl>
    <w:lvl w:ilvl="1" w:tplc="08090019" w:tentative="1">
      <w:start w:val="1"/>
      <w:numFmt w:val="lowerLetter"/>
      <w:lvlText w:val="%2."/>
      <w:lvlJc w:val="left"/>
      <w:pPr>
        <w:ind w:left="2835" w:hanging="360"/>
      </w:pPr>
    </w:lvl>
    <w:lvl w:ilvl="2" w:tplc="0809001B" w:tentative="1">
      <w:start w:val="1"/>
      <w:numFmt w:val="lowerRoman"/>
      <w:lvlText w:val="%3."/>
      <w:lvlJc w:val="right"/>
      <w:pPr>
        <w:ind w:left="3555" w:hanging="180"/>
      </w:pPr>
    </w:lvl>
    <w:lvl w:ilvl="3" w:tplc="0809000F" w:tentative="1">
      <w:start w:val="1"/>
      <w:numFmt w:val="decimal"/>
      <w:lvlText w:val="%4."/>
      <w:lvlJc w:val="left"/>
      <w:pPr>
        <w:ind w:left="4275" w:hanging="360"/>
      </w:pPr>
    </w:lvl>
    <w:lvl w:ilvl="4" w:tplc="08090019" w:tentative="1">
      <w:start w:val="1"/>
      <w:numFmt w:val="lowerLetter"/>
      <w:lvlText w:val="%5."/>
      <w:lvlJc w:val="left"/>
      <w:pPr>
        <w:ind w:left="4995" w:hanging="360"/>
      </w:pPr>
    </w:lvl>
    <w:lvl w:ilvl="5" w:tplc="0809001B" w:tentative="1">
      <w:start w:val="1"/>
      <w:numFmt w:val="lowerRoman"/>
      <w:lvlText w:val="%6."/>
      <w:lvlJc w:val="right"/>
      <w:pPr>
        <w:ind w:left="5715" w:hanging="180"/>
      </w:pPr>
    </w:lvl>
    <w:lvl w:ilvl="6" w:tplc="0809000F" w:tentative="1">
      <w:start w:val="1"/>
      <w:numFmt w:val="decimal"/>
      <w:lvlText w:val="%7."/>
      <w:lvlJc w:val="left"/>
      <w:pPr>
        <w:ind w:left="6435" w:hanging="360"/>
      </w:pPr>
    </w:lvl>
    <w:lvl w:ilvl="7" w:tplc="08090019" w:tentative="1">
      <w:start w:val="1"/>
      <w:numFmt w:val="lowerLetter"/>
      <w:lvlText w:val="%8."/>
      <w:lvlJc w:val="left"/>
      <w:pPr>
        <w:ind w:left="7155" w:hanging="360"/>
      </w:pPr>
    </w:lvl>
    <w:lvl w:ilvl="8" w:tplc="0809001B" w:tentative="1">
      <w:start w:val="1"/>
      <w:numFmt w:val="lowerRoman"/>
      <w:lvlText w:val="%9."/>
      <w:lvlJc w:val="right"/>
      <w:pPr>
        <w:ind w:left="7875" w:hanging="180"/>
      </w:pPr>
    </w:lvl>
  </w:abstractNum>
  <w:abstractNum w:abstractNumId="3" w15:restartNumberingAfterBreak="0">
    <w:nsid w:val="465D2CF7"/>
    <w:multiLevelType w:val="hybridMultilevel"/>
    <w:tmpl w:val="03DC8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8142C4"/>
    <w:multiLevelType w:val="hybridMultilevel"/>
    <w:tmpl w:val="16C6E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3816624">
    <w:abstractNumId w:val="1"/>
  </w:num>
  <w:num w:numId="2" w16cid:durableId="1141263012">
    <w:abstractNumId w:val="0"/>
  </w:num>
  <w:num w:numId="3" w16cid:durableId="151914555">
    <w:abstractNumId w:val="3"/>
  </w:num>
  <w:num w:numId="4" w16cid:durableId="1429274846">
    <w:abstractNumId w:val="2"/>
  </w:num>
  <w:num w:numId="5" w16cid:durableId="68188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13C"/>
    <w:rsid w:val="000D1EC9"/>
    <w:rsid w:val="0011025A"/>
    <w:rsid w:val="00213F9B"/>
    <w:rsid w:val="00265886"/>
    <w:rsid w:val="003D5E50"/>
    <w:rsid w:val="003F124A"/>
    <w:rsid w:val="004A676E"/>
    <w:rsid w:val="007C1C1C"/>
    <w:rsid w:val="009C7667"/>
    <w:rsid w:val="00AB606F"/>
    <w:rsid w:val="00C43B5A"/>
    <w:rsid w:val="00DA413C"/>
    <w:rsid w:val="00E7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A3599"/>
  <w15:docId w15:val="{FDCCEF72-4D77-4CFB-8037-0493A16B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B5A"/>
  </w:style>
  <w:style w:type="paragraph" w:styleId="Footer">
    <w:name w:val="footer"/>
    <w:basedOn w:val="Normal"/>
    <w:link w:val="FooterChar"/>
    <w:uiPriority w:val="99"/>
    <w:unhideWhenUsed/>
    <w:rsid w:val="00C43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B5A"/>
  </w:style>
  <w:style w:type="paragraph" w:styleId="NoSpacing">
    <w:name w:val="No Spacing"/>
    <w:uiPriority w:val="1"/>
    <w:qFormat/>
    <w:rsid w:val="00213F9B"/>
    <w:pPr>
      <w:spacing w:after="0" w:line="240" w:lineRule="auto"/>
    </w:pPr>
    <w:rPr>
      <w:rFonts w:eastAsiaTheme="minorEastAsia"/>
      <w:lang w:eastAsia="en-GB"/>
    </w:rPr>
  </w:style>
  <w:style w:type="paragraph" w:styleId="ListParagraph">
    <w:name w:val="List Paragraph"/>
    <w:basedOn w:val="Normal"/>
    <w:link w:val="ListParagraphChar"/>
    <w:uiPriority w:val="99"/>
    <w:qFormat/>
    <w:rsid w:val="00213F9B"/>
    <w:pPr>
      <w:ind w:left="720"/>
      <w:contextualSpacing/>
    </w:pPr>
    <w:rPr>
      <w:rFonts w:eastAsiaTheme="minorEastAsia"/>
      <w:lang w:eastAsia="en-GB"/>
    </w:rPr>
  </w:style>
  <w:style w:type="character" w:customStyle="1" w:styleId="ListParagraphChar">
    <w:name w:val="List Paragraph Char"/>
    <w:link w:val="ListParagraph"/>
    <w:uiPriority w:val="99"/>
    <w:rsid w:val="00213F9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O'SULLIVAN, Elizabeth (CITY HEALTH CARE PARTNERSHIP CIC)</cp:lastModifiedBy>
  <cp:revision>2</cp:revision>
  <cp:lastPrinted>2021-07-06T07:47:00Z</cp:lastPrinted>
  <dcterms:created xsi:type="dcterms:W3CDTF">2023-07-27T12:28:00Z</dcterms:created>
  <dcterms:modified xsi:type="dcterms:W3CDTF">2023-07-27T12:28:00Z</dcterms:modified>
</cp:coreProperties>
</file>